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木垒哈萨克自治县纪律检查委员会</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（1）维护党的章程和其他党内法规，协助县委整顿党风、加强党风廉政建设，检查党的路线、方针、政策和决议的执行情况。</w:t>
      </w:r>
    </w:p>
    <w:p>
      <w:pPr>
        <w:ind w:firstLine="640" w:firstLineChars="200"/>
        <w:jc w:val="left"/>
        <w:rPr>
          <w:rFonts w:ascii="仿宋_GB2312" w:eastAsia="仿宋_GB2312"/>
          <w:sz w:val="32"/>
          <w:szCs w:val="32"/>
        </w:rPr>
      </w:pPr>
      <w:r>
        <w:rPr>
          <w:rFonts w:hint="eastAsia" w:ascii="仿宋_GB2312" w:eastAsia="仿宋_GB2312"/>
          <w:sz w:val="32"/>
          <w:szCs w:val="32"/>
        </w:rPr>
        <w:t>（2）贯彻落实州党委、人民政府、纪委、监察局和县委、县人民政府有关行政监察工作的指示、决定，主管全县行政监察工作。</w:t>
      </w:r>
    </w:p>
    <w:p>
      <w:pPr>
        <w:ind w:firstLine="640" w:firstLineChars="200"/>
        <w:jc w:val="left"/>
        <w:rPr>
          <w:rFonts w:ascii="仿宋_GB2312" w:eastAsia="仿宋_GB2312"/>
          <w:sz w:val="32"/>
          <w:szCs w:val="32"/>
        </w:rPr>
      </w:pPr>
      <w:r>
        <w:rPr>
          <w:rFonts w:hint="eastAsia" w:ascii="仿宋_GB2312" w:eastAsia="仿宋_GB2312"/>
          <w:sz w:val="32"/>
          <w:szCs w:val="32"/>
        </w:rPr>
        <w:t>（3）负责组织、协调好领导干部廉洁自律、纠正部门和行业不正之风及源头预防和解决腐败问题的工作，制定建立健全惩治和预防腐败体系实施方案并组织实施，协助县委抓好主要任务的分解和落实工作。</w:t>
      </w:r>
    </w:p>
    <w:p>
      <w:pPr>
        <w:ind w:firstLine="640" w:firstLineChars="200"/>
        <w:jc w:val="left"/>
        <w:rPr>
          <w:rFonts w:ascii="仿宋_GB2312" w:eastAsia="仿宋_GB2312"/>
          <w:sz w:val="32"/>
          <w:szCs w:val="32"/>
        </w:rPr>
      </w:pPr>
      <w:r>
        <w:rPr>
          <w:rFonts w:hint="eastAsia" w:ascii="仿宋_GB2312" w:eastAsia="仿宋_GB2312"/>
          <w:sz w:val="32"/>
          <w:szCs w:val="32"/>
        </w:rPr>
        <w:t>（4）负责检查和处理全县各级党的组织和党员违反党的章程、党纪和国家法律、法令的重要或复杂案件，决定或取消对这些案件中党员的处分；受理党员的控告和申诉。保护党员的民主权利和合法权益。</w:t>
      </w:r>
    </w:p>
    <w:p>
      <w:pPr>
        <w:ind w:firstLine="640" w:firstLineChars="200"/>
        <w:jc w:val="left"/>
        <w:rPr>
          <w:rFonts w:ascii="仿宋_GB2312" w:eastAsia="仿宋_GB2312"/>
          <w:sz w:val="32"/>
          <w:szCs w:val="32"/>
        </w:rPr>
      </w:pPr>
      <w:r>
        <w:rPr>
          <w:rFonts w:hint="eastAsia" w:ascii="仿宋_GB2312" w:eastAsia="仿宋_GB2312"/>
          <w:sz w:val="32"/>
          <w:szCs w:val="32"/>
        </w:rPr>
        <w:t>（5）按照分级管辖的原则，检查国家行政机关在遵守和执行法律、法规和人民政府的决定、命令中的问题，受理对国家行政机关、国家公务员和国家行政机关任命的其他人员违反行政纪律行为的检举、控告；调查处理国家行政机关、国家公务员和国家行政机关任命的其他人员违反行政纪律的行为，审理决定或建议对他们作出行政处分；受理国家公务员和国家行政机关任命的其他人员不服主管行政机关给予行政处分决定的申诉；以及法律、行政法规规定的其他由监察机关受理的申诉，保护国家公务员正当的合法权益。按照有关规定对县干部选拔任用工作进行监督检查。</w:t>
      </w:r>
    </w:p>
    <w:p>
      <w:pPr>
        <w:ind w:firstLine="640" w:firstLineChars="200"/>
        <w:jc w:val="left"/>
        <w:rPr>
          <w:rFonts w:ascii="仿宋_GB2312" w:eastAsia="仿宋_GB2312"/>
          <w:sz w:val="32"/>
          <w:szCs w:val="32"/>
        </w:rPr>
      </w:pPr>
      <w:r>
        <w:rPr>
          <w:rFonts w:hint="eastAsia" w:ascii="仿宋_GB2312" w:eastAsia="仿宋_GB2312"/>
          <w:sz w:val="32"/>
          <w:szCs w:val="32"/>
        </w:rPr>
        <w:t>（6）负责作出关于维护党纪的决定，制定党风党纪教育规划，配合有关部门做好党的纪检工作方针、政策的宣传和对全县党员进行党风廉政和遵守纪律的教育工作。</w:t>
      </w:r>
    </w:p>
    <w:p>
      <w:pPr>
        <w:ind w:firstLine="640" w:firstLineChars="200"/>
        <w:jc w:val="left"/>
        <w:rPr>
          <w:rFonts w:ascii="仿宋_GB2312" w:eastAsia="仿宋_GB2312"/>
          <w:sz w:val="32"/>
          <w:szCs w:val="32"/>
        </w:rPr>
      </w:pPr>
      <w:r>
        <w:rPr>
          <w:rFonts w:hint="eastAsia" w:ascii="仿宋_GB2312" w:eastAsia="仿宋_GB2312"/>
          <w:sz w:val="32"/>
          <w:szCs w:val="32"/>
        </w:rPr>
        <w:t>（7）会同有关部门做好行政监察工作的方针、政策和法律、法规的宣传工作，教育国家机关工作人员遵纪守法、为政清廉。</w:t>
      </w:r>
    </w:p>
    <w:p>
      <w:pPr>
        <w:ind w:firstLine="640" w:firstLineChars="200"/>
        <w:jc w:val="left"/>
        <w:rPr>
          <w:rFonts w:ascii="仿宋_GB2312" w:eastAsia="仿宋_GB2312"/>
          <w:sz w:val="32"/>
          <w:szCs w:val="32"/>
        </w:rPr>
      </w:pPr>
      <w:r>
        <w:rPr>
          <w:rFonts w:hint="eastAsia" w:ascii="仿宋_GB2312" w:eastAsia="仿宋_GB2312"/>
          <w:sz w:val="32"/>
          <w:szCs w:val="32"/>
        </w:rPr>
        <w:t>（8）对党的纪律检查工作理论及有关问题进行调查研究；调查监察对象遵纪守法情况，研究政风政纪中出现的带普遍性、倾向性问题。负责监督检查县行政效能监察工作；制定行政效能监察工作计划并分解落实工作任务。</w:t>
      </w:r>
    </w:p>
    <w:p>
      <w:pPr>
        <w:ind w:firstLine="640" w:firstLineChars="200"/>
        <w:jc w:val="left"/>
        <w:rPr>
          <w:rFonts w:ascii="仿宋_GB2312" w:eastAsia="仿宋_GB2312"/>
          <w:sz w:val="32"/>
          <w:szCs w:val="32"/>
        </w:rPr>
      </w:pPr>
      <w:r>
        <w:rPr>
          <w:rFonts w:hint="eastAsia" w:ascii="仿宋_GB2312" w:eastAsia="仿宋_GB2312"/>
          <w:sz w:val="32"/>
          <w:szCs w:val="32"/>
        </w:rPr>
        <w:t>（9）会同县各部门及各乡（镇）党委和政府做好纪检、监察干部的管理，审核乡（镇）纪委、县属单位纪检、监察干部人选；组织和指导全县纪检、监察干部培训工作。</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木垒哈萨克自治县纪律检查委员会2023年度，实有人数</w:t>
      </w:r>
      <w:r>
        <w:rPr>
          <w:rFonts w:hint="eastAsia" w:ascii="仿宋_GB2312" w:eastAsia="仿宋_GB2312"/>
          <w:sz w:val="32"/>
          <w:szCs w:val="32"/>
          <w:lang w:val="zh-CN"/>
        </w:rPr>
        <w:t>134</w:t>
      </w:r>
      <w:r>
        <w:rPr>
          <w:rFonts w:hint="eastAsia" w:ascii="仿宋_GB2312" w:eastAsia="仿宋_GB2312"/>
          <w:sz w:val="32"/>
          <w:szCs w:val="32"/>
        </w:rPr>
        <w:t>人，其中：在职人员</w:t>
      </w:r>
      <w:r>
        <w:rPr>
          <w:rFonts w:hint="eastAsia" w:ascii="仿宋_GB2312" w:eastAsia="仿宋_GB2312"/>
          <w:sz w:val="32"/>
          <w:szCs w:val="32"/>
          <w:lang w:val="zh-CN"/>
        </w:rPr>
        <w:t>115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19</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ascii="仿宋_GB2312" w:eastAsia="仿宋_GB2312"/>
          <w:sz w:val="32"/>
          <w:szCs w:val="32"/>
        </w:rPr>
        <w:t>2</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办公室、组织部、宣传部、党风政风监督室、信访室、案件监督管理室、第一纪检监察室、第二纪检监察室、第三纪检监察室、第四纪检监察室、案件审理室、纪检干部监督室。</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2023年度收入总计2,673.52万元，其中：本年收入合计2,673.52万元，使用非财政拨款结余0.00万元，年初结转和结余0.00万元。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2023年度支出总计2,673.52万元，其中：本年支出合计2,673.46万元，结余分配0.00万元，年末结转和结余0.06万元。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增加288.98万元</w:t>
      </w:r>
      <w:r>
        <w:rPr>
          <w:rFonts w:hint="eastAsia" w:ascii="仿宋_GB2312" w:eastAsia="仿宋_GB2312"/>
          <w:sz w:val="32"/>
          <w:szCs w:val="32"/>
        </w:rPr>
        <w:t>，增长12.12%，主要原因是：本年单位办公楼勘测费较上年增加。</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本年收入2,673.52万元，其中：财政拨款收入</w:t>
      </w:r>
      <w:r>
        <w:rPr>
          <w:rFonts w:hint="eastAsia" w:ascii="仿宋_GB2312" w:eastAsia="仿宋_GB2312"/>
          <w:sz w:val="32"/>
          <w:szCs w:val="32"/>
          <w:lang w:val="zh-CN"/>
        </w:rPr>
        <w:t>2,673.46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0.06</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cs="仿宋_GB2312"/>
          <w:sz w:val="30"/>
          <w:szCs w:val="30"/>
          <w:lang w:val="zh-CN"/>
        </w:rPr>
      </w:pPr>
      <w:r>
        <w:rPr>
          <w:rFonts w:hint="eastAsia" w:ascii="仿宋_GB2312" w:eastAsia="仿宋_GB2312" w:cs="仿宋_GB2312"/>
          <w:sz w:val="32"/>
          <w:szCs w:val="32"/>
          <w:lang w:val="zh-CN"/>
        </w:rPr>
        <w:t>本年支出2,673.46万元，其中：基本支出2,660.92万元，占99.53%；项目支出12.54万元，占0.47%；上缴上级支出0.00万元，占0.00%；经营支出0.00万元，占0.00%；对附属单位补助支出0.00万元，占0.00%。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2,673.46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2,673.46</w:t>
      </w:r>
      <w:r>
        <w:rPr>
          <w:rFonts w:hint="eastAsia" w:ascii="仿宋_GB2312" w:eastAsia="仿宋_GB2312"/>
          <w:sz w:val="32"/>
          <w:szCs w:val="32"/>
        </w:rPr>
        <w:t>万元。财政拨款支出总计</w:t>
      </w:r>
      <w:r>
        <w:rPr>
          <w:rFonts w:hint="eastAsia" w:ascii="仿宋_GB2312" w:eastAsia="仿宋_GB2312"/>
          <w:sz w:val="32"/>
          <w:szCs w:val="32"/>
          <w:lang w:val="zh-CN"/>
        </w:rPr>
        <w:t>2,673.46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2,673.46</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增加288.92万元</w:t>
      </w:r>
      <w:r>
        <w:rPr>
          <w:rFonts w:hint="eastAsia" w:ascii="仿宋_GB2312" w:eastAsia="仿宋_GB2312"/>
          <w:sz w:val="32"/>
          <w:szCs w:val="32"/>
        </w:rPr>
        <w:t>，增长12.12%,主要原因是：本年单位办公楼勘测费较上年增加。与年初预算相比，年初预算数</w:t>
      </w:r>
      <w:r>
        <w:rPr>
          <w:rFonts w:hint="eastAsia" w:ascii="仿宋_GB2312" w:eastAsia="仿宋_GB2312"/>
          <w:sz w:val="32"/>
          <w:szCs w:val="32"/>
          <w:lang w:val="zh-CN"/>
        </w:rPr>
        <w:t>2,766.10</w:t>
      </w:r>
      <w:r>
        <w:rPr>
          <w:rFonts w:hint="eastAsia" w:ascii="仿宋_GB2312" w:eastAsia="仿宋_GB2312"/>
          <w:sz w:val="32"/>
          <w:szCs w:val="32"/>
        </w:rPr>
        <w:t>万元，决算数</w:t>
      </w:r>
      <w:r>
        <w:rPr>
          <w:rFonts w:hint="eastAsia" w:ascii="仿宋_GB2312" w:eastAsia="仿宋_GB2312"/>
          <w:sz w:val="32"/>
          <w:szCs w:val="32"/>
          <w:lang w:val="zh-CN"/>
        </w:rPr>
        <w:t>2,673.46</w:t>
      </w:r>
      <w:r>
        <w:rPr>
          <w:rFonts w:hint="eastAsia" w:ascii="仿宋_GB2312" w:eastAsia="仿宋_GB2312"/>
          <w:sz w:val="32"/>
          <w:szCs w:val="32"/>
        </w:rPr>
        <w:t>万元，预决算差异率-3.35%，主要原因是：本年单位</w:t>
      </w:r>
      <w:r>
        <w:rPr>
          <w:rFonts w:hint="eastAsia" w:eastAsia="仿宋_GB2312"/>
          <w:sz w:val="32"/>
          <w:szCs w:val="32"/>
          <w:lang w:val="zh-CN"/>
        </w:rPr>
        <w:t>各乡镇纪检监察信息员工作经费小于年初预算安排金额</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2023年度一般公共预算财政拨款支出2,673.46万元，占本年支出合计的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增加288.92万元</w:t>
      </w:r>
      <w:r>
        <w:rPr>
          <w:rFonts w:hint="eastAsia" w:ascii="仿宋_GB2312" w:eastAsia="仿宋_GB2312"/>
          <w:sz w:val="32"/>
          <w:szCs w:val="32"/>
        </w:rPr>
        <w:t>，增长12.12%,主要原因是：本年单位办公楼勘测费较上年增加。与年初预算相比，年初预算数</w:t>
      </w:r>
      <w:r>
        <w:rPr>
          <w:rFonts w:hint="eastAsia" w:ascii="仿宋_GB2312" w:eastAsia="仿宋_GB2312"/>
          <w:sz w:val="32"/>
          <w:szCs w:val="32"/>
          <w:lang w:val="zh-CN"/>
        </w:rPr>
        <w:t>2,766.10</w:t>
      </w:r>
      <w:r>
        <w:rPr>
          <w:rFonts w:hint="eastAsia" w:ascii="仿宋_GB2312" w:eastAsia="仿宋_GB2312"/>
          <w:sz w:val="32"/>
          <w:szCs w:val="32"/>
        </w:rPr>
        <w:t>万元，决算数</w:t>
      </w:r>
      <w:r>
        <w:rPr>
          <w:rFonts w:hint="eastAsia" w:ascii="仿宋_GB2312" w:eastAsia="仿宋_GB2312"/>
          <w:sz w:val="32"/>
          <w:szCs w:val="32"/>
          <w:lang w:val="zh-CN"/>
        </w:rPr>
        <w:t>2,673.46</w:t>
      </w:r>
      <w:r>
        <w:rPr>
          <w:rFonts w:hint="eastAsia" w:ascii="仿宋_GB2312" w:eastAsia="仿宋_GB2312"/>
          <w:sz w:val="32"/>
          <w:szCs w:val="32"/>
        </w:rPr>
        <w:t>万元，预决算差异率</w:t>
      </w:r>
      <w:r>
        <w:rPr>
          <w:rFonts w:hint="eastAsia" w:ascii="仿宋_GB2312" w:eastAsia="仿宋_GB2312"/>
          <w:sz w:val="32"/>
          <w:szCs w:val="32"/>
          <w:lang w:val="zh-CN"/>
        </w:rPr>
        <w:t>-3.35%</w:t>
      </w:r>
      <w:r>
        <w:rPr>
          <w:rFonts w:hint="eastAsia" w:ascii="仿宋_GB2312" w:eastAsia="仿宋_GB2312"/>
          <w:sz w:val="32"/>
          <w:szCs w:val="32"/>
        </w:rPr>
        <w:t>，主要原因是：本年单位</w:t>
      </w:r>
      <w:r>
        <w:rPr>
          <w:rFonts w:hint="eastAsia" w:eastAsia="仿宋_GB2312"/>
          <w:sz w:val="32"/>
          <w:szCs w:val="32"/>
          <w:lang w:val="zh-CN"/>
        </w:rPr>
        <w:t>各乡镇纪检监察信息员工作经费小于年初预算安排金额</w:t>
      </w:r>
      <w:r>
        <w:rPr>
          <w:rFonts w:hint="eastAsia" w:ascii="仿宋_GB2312" w:eastAsia="仿宋_GB2312"/>
          <w:sz w:val="32"/>
          <w:szCs w:val="32"/>
        </w:rPr>
        <w:t>。</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2,177.05</w:t>
      </w:r>
      <w:r>
        <w:rPr>
          <w:rFonts w:ascii="仿宋_GB2312" w:eastAsia="仿宋_GB2312"/>
          <w:kern w:val="2"/>
          <w:sz w:val="32"/>
          <w:szCs w:val="32"/>
          <w:lang w:val="zh-CN"/>
        </w:rPr>
        <w:t>万元，占</w:t>
      </w:r>
      <w:r>
        <w:rPr>
          <w:rFonts w:hint="eastAsia" w:ascii="仿宋_GB2312" w:eastAsia="仿宋_GB2312"/>
          <w:kern w:val="2"/>
          <w:sz w:val="32"/>
          <w:szCs w:val="32"/>
          <w:lang w:val="zh-CN"/>
        </w:rPr>
        <w:t>81.43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315.65</w:t>
      </w:r>
      <w:r>
        <w:rPr>
          <w:rFonts w:ascii="仿宋_GB2312" w:eastAsia="仿宋_GB2312"/>
          <w:kern w:val="2"/>
          <w:sz w:val="32"/>
          <w:szCs w:val="32"/>
          <w:lang w:val="zh-CN"/>
        </w:rPr>
        <w:t>万元，占</w:t>
      </w:r>
      <w:r>
        <w:rPr>
          <w:rFonts w:hint="eastAsia" w:ascii="仿宋_GB2312" w:eastAsia="仿宋_GB2312"/>
          <w:kern w:val="2"/>
          <w:sz w:val="32"/>
          <w:szCs w:val="32"/>
          <w:lang w:val="zh-CN"/>
        </w:rPr>
        <w:t>11.81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150.07</w:t>
      </w:r>
      <w:r>
        <w:rPr>
          <w:rFonts w:ascii="仿宋_GB2312" w:eastAsia="仿宋_GB2312"/>
          <w:kern w:val="2"/>
          <w:sz w:val="32"/>
          <w:szCs w:val="32"/>
          <w:lang w:val="zh-CN"/>
        </w:rPr>
        <w:t>万元，占</w:t>
      </w:r>
      <w:r>
        <w:rPr>
          <w:rFonts w:hint="eastAsia" w:ascii="仿宋_GB2312" w:eastAsia="仿宋_GB2312"/>
          <w:kern w:val="2"/>
          <w:sz w:val="32"/>
          <w:szCs w:val="32"/>
          <w:lang w:val="zh-CN"/>
        </w:rPr>
        <w:t>5.61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4.其他支出（类）</w:t>
      </w:r>
      <w:r>
        <w:rPr>
          <w:rFonts w:hint="eastAsia" w:ascii="仿宋_GB2312" w:eastAsia="仿宋_GB2312"/>
          <w:kern w:val="2"/>
          <w:sz w:val="32"/>
          <w:szCs w:val="32"/>
          <w:lang w:val="zh-CN"/>
        </w:rPr>
        <w:t>30.69</w:t>
      </w:r>
      <w:r>
        <w:rPr>
          <w:rFonts w:ascii="仿宋_GB2312" w:eastAsia="仿宋_GB2312"/>
          <w:kern w:val="2"/>
          <w:sz w:val="32"/>
          <w:szCs w:val="32"/>
          <w:lang w:val="zh-CN"/>
        </w:rPr>
        <w:t>万元，占</w:t>
      </w:r>
      <w:r>
        <w:rPr>
          <w:rFonts w:hint="eastAsia" w:ascii="仿宋_GB2312" w:eastAsia="仿宋_GB2312"/>
          <w:kern w:val="2"/>
          <w:sz w:val="32"/>
          <w:szCs w:val="32"/>
          <w:lang w:val="zh-CN"/>
        </w:rPr>
        <w:t>1.15</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lang w:val="zh-CN"/>
        </w:rPr>
      </w:pPr>
      <w:r>
        <w:rPr>
          <w:rFonts w:hint="eastAsia" w:ascii="仿宋_GB2312" w:eastAsia="仿宋_GB2312"/>
          <w:sz w:val="32"/>
          <w:szCs w:val="32"/>
        </w:rPr>
        <w:t>1.住房保障支出（类）住房改革支出（款）住房公积金（项）:支出决算数为150.07万元，比上年决算增加3.85万元，增长2.63%，主要原因是：单位</w:t>
      </w:r>
      <w:r>
        <w:rPr>
          <w:rFonts w:hint="eastAsia" w:ascii="仿宋_GB2312" w:eastAsia="仿宋_GB2312"/>
          <w:sz w:val="32"/>
          <w:szCs w:val="32"/>
          <w:lang w:val="zh-CN"/>
        </w:rPr>
        <w:t>公积金基数增加，人员</w:t>
      </w:r>
      <w:r>
        <w:rPr>
          <w:rFonts w:hint="eastAsia" w:ascii="仿宋_GB2312" w:eastAsia="仿宋_GB2312"/>
          <w:sz w:val="32"/>
          <w:szCs w:val="32"/>
        </w:rPr>
        <w:t>住房公积金缴费增加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2.社会保障和就业支出（类）抚恤（款）死亡抚恤（项）:支出决算数为72.37万元，比上年决算增加45.20万元，增长166.37%，主要原因是：2023年有两名职工去世，人员丧葬抚恤金增加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3.一般公共服务支出（类）纪检监察事务（款）其他纪检监察事务支出（项）:支出决算数为48.62万元，比上年决算减少11.50万元，下降19.13%，主要原因是：本年单位</w:t>
      </w:r>
      <w:r>
        <w:rPr>
          <w:rFonts w:hint="eastAsia" w:eastAsia="仿宋_GB2312"/>
          <w:sz w:val="32"/>
          <w:szCs w:val="32"/>
          <w:lang w:val="zh-CN"/>
        </w:rPr>
        <w:t>各乡镇纪检监察信息员较上年减少</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行政单位离退休（项）:支出决算数为4.74万元，比上年决算增加2.54万元，增长115.88%，主要原因是：单位新增4名退休人员，单位退休人员取暖费、独生子女奖励金较上年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5.一般公共服务支出（类）纪检监察事务（款）行政运行（项）:支出决算数为2,128.43万元，比上年决算增加198.70万元，增长10.30%，主要原因是：薪资调增，人员工资、津补贴等人员经费增加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43.33万元，比上年决算增加30.23万元，增长230.69%，主要原因是：单位新增4名退休人员，退休人员职业年金缴费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7.其他支出（类）其他支出（款）其他支出（项）:支出决算数为30.69万元，比上年决算增加12.57万元，增长69.34%，主要原因是：本年单位增加为民办实事业务经费</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8.社会保障和就业支出（类）行政事业单位养老支出（款）机关事业单位基本养老保险缴费支出（项）:支出决算数为195.21万元，比上年决算增加7.34万元，增长3.91%，主要原因是：</w:t>
      </w:r>
      <w:r>
        <w:rPr>
          <w:rFonts w:hint="eastAsia" w:eastAsia="仿宋_GB2312"/>
          <w:sz w:val="32"/>
          <w:szCs w:val="32"/>
        </w:rPr>
        <w:t>本年单位社保缴费基数调增，人员养老保险缴费增加</w:t>
      </w:r>
      <w:r>
        <w:rPr>
          <w:rFonts w:hint="eastAsia" w:ascii="仿宋_GB2312" w:eastAsia="仿宋_GB2312"/>
          <w:sz w:val="32"/>
          <w:szCs w:val="32"/>
          <w:lang w:val="zh-CN"/>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2,660.92万元，其中：人员经费2,100.79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pPr>
        <w:ind w:firstLine="640" w:firstLineChars="200"/>
        <w:jc w:val="left"/>
        <w:rPr>
          <w:rFonts w:ascii="仿宋_GB2312" w:eastAsia="仿宋_GB2312"/>
          <w:sz w:val="32"/>
          <w:szCs w:val="32"/>
        </w:rPr>
      </w:pPr>
      <w:r>
        <w:rPr>
          <w:rFonts w:hint="eastAsia" w:ascii="仿宋_GB2312" w:eastAsia="仿宋_GB2312"/>
          <w:sz w:val="32"/>
          <w:szCs w:val="32"/>
        </w:rPr>
        <w:t>公用经费560.13万元，包括：办公费、印刷费、水费、电费、邮电费、取暖费、物业管理费、差旅费、维修（护）费、租赁费、会议费、公务接待费、劳务费、工会经费、公务用车运行维护费、其他交通费用、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“三公”经费支出39.88万元，</w:t>
      </w:r>
      <w:r>
        <w:rPr>
          <w:rFonts w:hint="eastAsia" w:ascii="仿宋_GB2312" w:eastAsia="仿宋_GB2312"/>
          <w:sz w:val="32"/>
          <w:szCs w:val="32"/>
        </w:rPr>
        <w:t>比上年</w:t>
      </w:r>
      <w:r>
        <w:rPr>
          <w:rFonts w:hint="eastAsia" w:ascii="仿宋_GB2312" w:eastAsia="仿宋_GB2312"/>
          <w:sz w:val="32"/>
          <w:szCs w:val="32"/>
          <w:lang w:val="zh-CN"/>
        </w:rPr>
        <w:t>减少0.12万元，</w:t>
      </w:r>
      <w:r>
        <w:rPr>
          <w:rFonts w:hint="eastAsia" w:ascii="仿宋_GB2312" w:eastAsia="仿宋_GB2312"/>
          <w:sz w:val="32"/>
          <w:szCs w:val="32"/>
        </w:rPr>
        <w:t>下降0.30%,</w:t>
      </w:r>
      <w:r>
        <w:rPr>
          <w:rFonts w:hint="eastAsia" w:ascii="仿宋_GB2312" w:eastAsia="仿宋_GB2312"/>
          <w:sz w:val="32"/>
          <w:szCs w:val="32"/>
          <w:lang w:val="zh-CN"/>
        </w:rPr>
        <w:t>主要原因是：车辆减少出行，车辆维修费、燃油费等较上年减少。其中：因公出国（境）费支出0.00万元，占0.00%，比上年增加0.00万元，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主要原因是：本年无此项经费；公务用车购置及运行维护费支出34.88万元，占87.46%，比上年减少0.12万元，</w:t>
      </w:r>
      <w:r>
        <w:rPr>
          <w:rFonts w:hint="eastAsia" w:ascii="仿宋_GB2312" w:eastAsia="仿宋_GB2312"/>
          <w:sz w:val="32"/>
          <w:szCs w:val="32"/>
        </w:rPr>
        <w:t>下降0.33%,</w:t>
      </w:r>
      <w:r>
        <w:rPr>
          <w:rFonts w:hint="eastAsia" w:ascii="仿宋_GB2312" w:eastAsia="仿宋_GB2312"/>
          <w:sz w:val="32"/>
          <w:szCs w:val="32"/>
          <w:lang w:val="zh-CN"/>
        </w:rPr>
        <w:t>主要原因是：车辆减少出行，车辆维修费、燃油费等较上年减少；公务接待费支出5.00万元，占12.54%，比上年增加0.00万元，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主要原因是：与上年对比无差异。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公务用车购置及运行维护费34.88万元，其中：公务用车购置费0.00万元，公务用车运行维护费34.88万元。公务用车运行维护费开支内容包括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。公务用车购置数0辆，公务用车保有量14辆。国有资产占用情况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9辆，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原因是：我单位部分车辆是从其他单位借调的，车辆经费由我单位承担，所以公务用车保有量大于国有资产占用情况表</w:t>
      </w:r>
      <w:r>
        <w:rPr>
          <w:rFonts w:hint="eastAsia" w:ascii="仿宋_GB2312" w:eastAsia="仿宋_GB2312"/>
          <w:sz w:val="32"/>
          <w:szCs w:val="32"/>
        </w:rPr>
        <w:t>中固定资产车辆</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公务接待费5.00万元，开支内容包括人员接待的餐饮费及住宿费。单位全年安排的国内公务接待48批次，1</w:t>
      </w:r>
      <w:r>
        <w:rPr>
          <w:rFonts w:ascii="仿宋_GB2312" w:eastAsia="仿宋_GB2312"/>
          <w:sz w:val="32"/>
          <w:szCs w:val="32"/>
          <w:lang w:val="zh-CN"/>
        </w:rPr>
        <w:t>,</w:t>
      </w:r>
      <w:r>
        <w:rPr>
          <w:rFonts w:hint="eastAsia" w:ascii="仿宋_GB2312" w:eastAsia="仿宋_GB2312"/>
          <w:sz w:val="32"/>
          <w:szCs w:val="32"/>
          <w:lang w:val="zh-CN"/>
        </w:rPr>
        <w:t>800人次。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预算数39.88万元，决算数39.88万元，预决算差异率0.00%，主要原因是：本年严格按年初预算执行“三公”经费，预决算对比无差异。其中：因公出国（境）费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预算数34.88万元，决算数34.88万元，预决算差异率0.00%，主要原因是：本年严格按年初预算执行“三公”经费，预决算对比无差异；公务接待费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预算数5.00万元，决算数5.00万元，预决算差异率0.00%，主要原因是：本年严格按年初预算执行“三公”经费，预决算对比无差异。</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纪律检查委员会（行政单位和参照公务员法管理事业单位）机关运行经费支出560.13万元，比上年增加194.45万元，增长53.17%,主要原因是：本年单位办公经费、水电费、取暖费等较上年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2023年度政府采购支出总额198.57万元，其中：政府采购货物支出105.68万元、政府采购工程支出51.99万元、政府采购服务支出40.90万元。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授予中小企业合同金额192.50万元，占政府采购支出总额的96.94</w:t>
      </w:r>
      <w:r>
        <w:rPr>
          <w:rFonts w:ascii="仿宋_GB2312" w:eastAsia="仿宋_GB2312"/>
          <w:sz w:val="32"/>
          <w:szCs w:val="32"/>
        </w:rPr>
        <w:t>%</w:t>
      </w:r>
      <w:r>
        <w:rPr>
          <w:rFonts w:hint="eastAsia" w:ascii="仿宋_GB2312" w:eastAsia="仿宋_GB2312"/>
          <w:sz w:val="32"/>
          <w:szCs w:val="32"/>
        </w:rPr>
        <w:t>，其中：授予小微企业合同金额170.32万元，占政府采购支出总额的85.77</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截至2023年12月31日，固定资产原值731.45万元，房屋2</w:t>
      </w:r>
      <w:r>
        <w:rPr>
          <w:rFonts w:ascii="仿宋_GB2312" w:eastAsia="仿宋_GB2312"/>
          <w:sz w:val="32"/>
          <w:szCs w:val="32"/>
        </w:rPr>
        <w:t>,</w:t>
      </w:r>
      <w:r>
        <w:rPr>
          <w:rFonts w:hint="eastAsia" w:ascii="仿宋_GB2312" w:eastAsia="仿宋_GB2312"/>
          <w:sz w:val="32"/>
          <w:szCs w:val="32"/>
        </w:rPr>
        <w:t>293.0</w:t>
      </w:r>
      <w:r>
        <w:rPr>
          <w:rFonts w:ascii="仿宋_GB2312" w:eastAsia="仿宋_GB2312"/>
          <w:sz w:val="32"/>
          <w:szCs w:val="32"/>
        </w:rPr>
        <w:t>0</w:t>
      </w:r>
      <w:r>
        <w:rPr>
          <w:rFonts w:hint="eastAsia" w:ascii="仿宋_GB2312" w:eastAsia="仿宋_GB2312"/>
          <w:sz w:val="32"/>
          <w:szCs w:val="32"/>
        </w:rPr>
        <w:t>平方米，价值200.73万元。车辆9辆，价值142.52万元，其中：副部（省）级及以上领导用车0辆、主要负责人用车0辆、机要通信用车0辆、应急保障用车0辆、执法执勤用车7辆、特种专业技术用车0辆、离退休干部服务用车0辆、其他用车2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2,673.52</w:t>
      </w:r>
      <w:r>
        <w:rPr>
          <w:rFonts w:hint="eastAsia" w:ascii="仿宋_GB2312" w:eastAsia="仿宋_GB2312"/>
          <w:sz w:val="32"/>
          <w:szCs w:val="32"/>
        </w:rPr>
        <w:t>万元，实际执行总额</w:t>
      </w:r>
      <w:r>
        <w:rPr>
          <w:rFonts w:ascii="仿宋_GB2312" w:eastAsia="仿宋_GB2312"/>
          <w:sz w:val="32"/>
          <w:szCs w:val="32"/>
        </w:rPr>
        <w:t>2,673.46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12.54万元，全年执行数12.54万元。预算绩效管理取得的成效：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676"/>
        <w:gridCol w:w="1282"/>
        <w:gridCol w:w="1417"/>
        <w:gridCol w:w="1559"/>
        <w:gridCol w:w="995"/>
        <w:gridCol w:w="851"/>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pPr>
              <w:ind w:firstLine="400" w:firstLineChars="200"/>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44"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678" w:type="dxa"/>
            <w:gridSpan w:val="7"/>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木垒县纪律检查委员会本级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44"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6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28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41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5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995"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89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676"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28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5"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89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28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9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28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9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28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766.1</w:t>
            </w:r>
            <w:r>
              <w:rPr>
                <w:rFonts w:cs="宋体" w:asciiTheme="minorEastAsia" w:hAnsiTheme="minorEastAsia" w:eastAsiaTheme="minorEastAsia"/>
                <w:bCs/>
                <w:kern w:val="0"/>
                <w:sz w:val="20"/>
                <w:szCs w:val="20"/>
              </w:rPr>
              <w:t>0</w:t>
            </w:r>
          </w:p>
        </w:tc>
        <w:tc>
          <w:tcPr>
            <w:tcW w:w="141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2,673.52</w:t>
            </w:r>
          </w:p>
        </w:tc>
        <w:tc>
          <w:tcPr>
            <w:tcW w:w="15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673.46</w:t>
            </w:r>
          </w:p>
        </w:tc>
        <w:tc>
          <w:tcPr>
            <w:tcW w:w="99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rPr>
              <w:t>-</w:t>
            </w:r>
          </w:p>
        </w:tc>
        <w:tc>
          <w:tcPr>
            <w:tcW w:w="89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28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rPr>
              <w:t>-</w:t>
            </w:r>
          </w:p>
        </w:tc>
        <w:tc>
          <w:tcPr>
            <w:tcW w:w="89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28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766.1</w:t>
            </w:r>
            <w:r>
              <w:rPr>
                <w:rFonts w:cs="宋体" w:asciiTheme="minorEastAsia" w:hAnsiTheme="minorEastAsia" w:eastAsiaTheme="minorEastAsia"/>
                <w:bCs/>
                <w:kern w:val="0"/>
                <w:sz w:val="20"/>
                <w:szCs w:val="20"/>
              </w:rPr>
              <w:t>0</w:t>
            </w:r>
          </w:p>
        </w:tc>
        <w:tc>
          <w:tcPr>
            <w:tcW w:w="141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2,673.52</w:t>
            </w:r>
          </w:p>
        </w:tc>
        <w:tc>
          <w:tcPr>
            <w:tcW w:w="15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673.46</w:t>
            </w:r>
          </w:p>
        </w:tc>
        <w:tc>
          <w:tcPr>
            <w:tcW w:w="99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9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44"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375" w:type="dxa"/>
            <w:gridSpan w:val="3"/>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303" w:type="dxa"/>
            <w:gridSpan w:val="4"/>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844"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3375" w:type="dxa"/>
            <w:gridSpan w:val="3"/>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1、完成年度纪律检查工作；2、配合自治县党委巡察工作领导小组指导全县单位巡访工作；3、依照法律规定履行监督、调查、处置工作。</w:t>
            </w:r>
          </w:p>
        </w:tc>
        <w:tc>
          <w:tcPr>
            <w:tcW w:w="4303" w:type="dxa"/>
            <w:gridSpan w:val="4"/>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我单位已完成如下工工作：保障办公人员数量118人，房屋建筑物供暖面积2152平方米，开展法定节假日落实中央八项规定精神专项督查次数5次，全面从严治党主体责任落实情况检查单位个数50个，完成年度纪律检查工作；配合自治县党委巡察工作领导小组指导全县单位巡访工作；依照法律规定履行监督、调查、处置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4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6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28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41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55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995"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89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676"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8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41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&gt;=118人</w:t>
            </w:r>
          </w:p>
        </w:tc>
        <w:tc>
          <w:tcPr>
            <w:tcW w:w="15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中共木垒县委员会办公室、木垒县人民政府办公室关于印发《木垒县纪委监委职能配置、内设机构和人员编制规定》的通知</w:t>
            </w:r>
          </w:p>
        </w:tc>
        <w:tc>
          <w:tcPr>
            <w:tcW w:w="99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118人</w:t>
            </w:r>
          </w:p>
        </w:tc>
        <w:tc>
          <w:tcPr>
            <w:tcW w:w="89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continue"/>
            <w:vAlign w:val="center"/>
          </w:tcPr>
          <w:p>
            <w:pPr>
              <w:widowControl/>
              <w:jc w:val="left"/>
              <w:rPr>
                <w:rFonts w:hint="eastAsia" w:cs="宋体" w:asciiTheme="minorEastAsia" w:hAnsiTheme="minorEastAsia" w:eastAsiaTheme="minorEastAsia"/>
                <w:kern w:val="0"/>
                <w:sz w:val="20"/>
                <w:szCs w:val="20"/>
              </w:rPr>
            </w:pPr>
          </w:p>
        </w:tc>
        <w:tc>
          <w:tcPr>
            <w:tcW w:w="676" w:type="dxa"/>
            <w:vMerge w:val="continue"/>
            <w:vAlign w:val="center"/>
          </w:tcPr>
          <w:p>
            <w:pPr>
              <w:widowControl/>
              <w:jc w:val="left"/>
              <w:rPr>
                <w:rFonts w:hint="eastAsia" w:cs="宋体" w:asciiTheme="minorEastAsia" w:hAnsiTheme="minorEastAsia" w:eastAsiaTheme="minorEastAsia"/>
                <w:kern w:val="0"/>
                <w:sz w:val="20"/>
                <w:szCs w:val="20"/>
              </w:rPr>
            </w:pPr>
          </w:p>
        </w:tc>
        <w:tc>
          <w:tcPr>
            <w:tcW w:w="128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房屋建筑物供暖面积</w:t>
            </w:r>
          </w:p>
        </w:tc>
        <w:tc>
          <w:tcPr>
            <w:tcW w:w="141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&gt;2152平方米</w:t>
            </w:r>
          </w:p>
        </w:tc>
        <w:tc>
          <w:tcPr>
            <w:tcW w:w="15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中共木垒县委员会办公室、木垒县人民政府办公室关于印发《木垒县纪委监委职能配置、内设机构和编制规定》的通知</w:t>
            </w:r>
          </w:p>
        </w:tc>
        <w:tc>
          <w:tcPr>
            <w:tcW w:w="99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2152平方米</w:t>
            </w:r>
          </w:p>
        </w:tc>
        <w:tc>
          <w:tcPr>
            <w:tcW w:w="89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676" w:type="dxa"/>
            <w:vMerge w:val="continue"/>
            <w:vAlign w:val="center"/>
          </w:tcPr>
          <w:p>
            <w:pPr>
              <w:widowControl/>
              <w:jc w:val="left"/>
              <w:rPr>
                <w:rFonts w:hint="eastAsia" w:cs="宋体" w:asciiTheme="minorEastAsia" w:hAnsiTheme="minorEastAsia" w:eastAsiaTheme="minorEastAsia"/>
                <w:kern w:val="0"/>
                <w:sz w:val="20"/>
                <w:szCs w:val="20"/>
              </w:rPr>
            </w:pPr>
          </w:p>
        </w:tc>
        <w:tc>
          <w:tcPr>
            <w:tcW w:w="128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开展法定节假日落实中央八项规定精神专项督查次数</w:t>
            </w:r>
          </w:p>
        </w:tc>
        <w:tc>
          <w:tcPr>
            <w:tcW w:w="141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&gt;=5次</w:t>
            </w:r>
          </w:p>
        </w:tc>
        <w:tc>
          <w:tcPr>
            <w:tcW w:w="15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5次</w:t>
            </w:r>
          </w:p>
        </w:tc>
        <w:tc>
          <w:tcPr>
            <w:tcW w:w="89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continue"/>
            <w:vAlign w:val="center"/>
          </w:tcPr>
          <w:p>
            <w:pPr>
              <w:widowControl/>
              <w:jc w:val="left"/>
              <w:rPr>
                <w:rFonts w:hint="eastAsia" w:cs="宋体" w:asciiTheme="minorEastAsia" w:hAnsiTheme="minorEastAsia" w:eastAsiaTheme="minorEastAsia"/>
                <w:kern w:val="0"/>
                <w:sz w:val="20"/>
                <w:szCs w:val="20"/>
              </w:rPr>
            </w:pPr>
          </w:p>
        </w:tc>
        <w:tc>
          <w:tcPr>
            <w:tcW w:w="6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8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常规及专项巡察覆盖率</w:t>
            </w:r>
          </w:p>
        </w:tc>
        <w:tc>
          <w:tcPr>
            <w:tcW w:w="141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5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89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676"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8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全面从严治党主体责任落实情况检查单位个数</w:t>
            </w:r>
          </w:p>
        </w:tc>
        <w:tc>
          <w:tcPr>
            <w:tcW w:w="141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&gt;=50个</w:t>
            </w:r>
          </w:p>
        </w:tc>
        <w:tc>
          <w:tcPr>
            <w:tcW w:w="15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50个</w:t>
            </w:r>
          </w:p>
        </w:tc>
        <w:tc>
          <w:tcPr>
            <w:tcW w:w="89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continue"/>
            <w:vAlign w:val="center"/>
          </w:tcPr>
          <w:p>
            <w:pPr>
              <w:widowControl/>
              <w:jc w:val="left"/>
              <w:rPr>
                <w:rFonts w:hint="eastAsia" w:cs="宋体" w:asciiTheme="minorEastAsia" w:hAnsiTheme="minorEastAsia" w:eastAsiaTheme="minorEastAsia"/>
                <w:kern w:val="0"/>
                <w:sz w:val="20"/>
                <w:szCs w:val="20"/>
              </w:rPr>
            </w:pPr>
          </w:p>
        </w:tc>
        <w:tc>
          <w:tcPr>
            <w:tcW w:w="676" w:type="dxa"/>
            <w:vMerge w:val="continue"/>
            <w:vAlign w:val="center"/>
          </w:tcPr>
          <w:p>
            <w:pPr>
              <w:widowControl/>
              <w:jc w:val="left"/>
              <w:rPr>
                <w:rFonts w:hint="eastAsia" w:cs="宋体" w:asciiTheme="minorEastAsia" w:hAnsiTheme="minorEastAsia" w:eastAsiaTheme="minorEastAsia"/>
                <w:kern w:val="0"/>
                <w:sz w:val="20"/>
                <w:szCs w:val="20"/>
              </w:rPr>
            </w:pPr>
          </w:p>
        </w:tc>
        <w:tc>
          <w:tcPr>
            <w:tcW w:w="128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2023年巡察轮次数</w:t>
            </w:r>
          </w:p>
        </w:tc>
        <w:tc>
          <w:tcPr>
            <w:tcW w:w="141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&gt;=3轮次</w:t>
            </w:r>
          </w:p>
        </w:tc>
        <w:tc>
          <w:tcPr>
            <w:tcW w:w="155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851"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3轮次</w:t>
            </w:r>
          </w:p>
        </w:tc>
        <w:tc>
          <w:tcPr>
            <w:tcW w:w="89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676" w:type="dxa"/>
            <w:vMerge w:val="continue"/>
            <w:vAlign w:val="center"/>
          </w:tcPr>
          <w:p>
            <w:pPr>
              <w:widowControl/>
              <w:jc w:val="left"/>
              <w:rPr>
                <w:rFonts w:hint="eastAsia" w:cs="宋体" w:asciiTheme="minorEastAsia" w:hAnsiTheme="minorEastAsia" w:eastAsiaTheme="minorEastAsia"/>
                <w:kern w:val="0"/>
                <w:sz w:val="20"/>
                <w:szCs w:val="20"/>
              </w:rPr>
            </w:pPr>
          </w:p>
        </w:tc>
        <w:tc>
          <w:tcPr>
            <w:tcW w:w="128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党员干部队伍中违纪违规等腐败案件查办率</w:t>
            </w:r>
          </w:p>
        </w:tc>
        <w:tc>
          <w:tcPr>
            <w:tcW w:w="1417"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55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898"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676" w:type="dxa"/>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282"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417"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559"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995"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898" w:type="dxa"/>
            <w:shd w:val="clear" w:color="auto" w:fill="auto"/>
            <w:noWrap/>
            <w:vAlign w:val="center"/>
          </w:tcPr>
          <w:p>
            <w:pPr>
              <w:widowControl/>
              <w:jc w:val="left"/>
              <w:rPr>
                <w:rFonts w:hint="eastAsia"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676" w:type="dxa"/>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282"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417"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559"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995"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898" w:type="dxa"/>
            <w:shd w:val="clear" w:color="auto" w:fill="auto"/>
            <w:noWrap/>
            <w:vAlign w:val="center"/>
          </w:tcPr>
          <w:p>
            <w:pPr>
              <w:widowControl/>
              <w:jc w:val="left"/>
              <w:rPr>
                <w:rFonts w:hint="eastAsia" w:asciiTheme="minorEastAsia" w:hAnsiTheme="minorEastAsia" w:eastAsiaTheme="minorEastAsia"/>
                <w:kern w:val="0"/>
                <w:sz w:val="20"/>
                <w:szCs w:val="20"/>
              </w:rPr>
            </w:pP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
        <w:gridCol w:w="412"/>
        <w:gridCol w:w="716"/>
        <w:gridCol w:w="482"/>
        <w:gridCol w:w="1215"/>
        <w:gridCol w:w="423"/>
        <w:gridCol w:w="1280"/>
        <w:gridCol w:w="1237"/>
        <w:gridCol w:w="39"/>
        <w:gridCol w:w="472"/>
        <w:gridCol w:w="262"/>
        <w:gridCol w:w="392"/>
        <w:gridCol w:w="501"/>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color w:val="000000"/>
                <w:kern w:val="0"/>
                <w:sz w:val="20"/>
                <w:szCs w:val="20"/>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1"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8" w:type="pct"/>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2023年度工作队驻村经费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1"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14" w:type="pct"/>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木垒县纪律检查委员会本级</w:t>
            </w:r>
          </w:p>
        </w:tc>
        <w:tc>
          <w:tcPr>
            <w:tcW w:w="748"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55" w:type="pct"/>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木垒县纪律检查委员会本级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1" w:type="pct"/>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02"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1"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5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48"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0"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1" w:type="pct"/>
            <w:gridSpan w:val="2"/>
            <w:vMerge w:val="continue"/>
            <w:vAlign w:val="center"/>
          </w:tcPr>
          <w:p>
            <w:pPr>
              <w:widowControl/>
              <w:jc w:val="left"/>
              <w:rPr>
                <w:rFonts w:hint="eastAsia" w:ascii="宋体" w:hAnsi="宋体" w:cs="宋体"/>
                <w:color w:val="000000"/>
                <w:kern w:val="0"/>
                <w:sz w:val="20"/>
                <w:szCs w:val="20"/>
              </w:rPr>
            </w:pPr>
          </w:p>
        </w:tc>
        <w:tc>
          <w:tcPr>
            <w:tcW w:w="702"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1"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12.54</w:t>
            </w:r>
          </w:p>
        </w:tc>
        <w:tc>
          <w:tcPr>
            <w:tcW w:w="75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12.54</w:t>
            </w:r>
          </w:p>
        </w:tc>
        <w:tc>
          <w:tcPr>
            <w:tcW w:w="748"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12.54</w:t>
            </w:r>
          </w:p>
        </w:tc>
        <w:tc>
          <w:tcPr>
            <w:tcW w:w="430"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1" w:type="pct"/>
            <w:gridSpan w:val="2"/>
            <w:vMerge w:val="continue"/>
            <w:vAlign w:val="center"/>
          </w:tcPr>
          <w:p>
            <w:pPr>
              <w:widowControl/>
              <w:jc w:val="left"/>
              <w:rPr>
                <w:rFonts w:hint="eastAsia" w:ascii="宋体" w:hAnsi="宋体" w:cs="宋体"/>
                <w:color w:val="000000"/>
                <w:kern w:val="0"/>
                <w:sz w:val="20"/>
                <w:szCs w:val="20"/>
              </w:rPr>
            </w:pPr>
          </w:p>
        </w:tc>
        <w:tc>
          <w:tcPr>
            <w:tcW w:w="702"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1"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12.54 </w:t>
            </w:r>
          </w:p>
        </w:tc>
        <w:tc>
          <w:tcPr>
            <w:tcW w:w="75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12.54 </w:t>
            </w:r>
          </w:p>
        </w:tc>
        <w:tc>
          <w:tcPr>
            <w:tcW w:w="748"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12.54 </w:t>
            </w:r>
          </w:p>
        </w:tc>
        <w:tc>
          <w:tcPr>
            <w:tcW w:w="430"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1" w:type="pct"/>
            <w:gridSpan w:val="2"/>
            <w:vMerge w:val="continue"/>
            <w:vAlign w:val="center"/>
          </w:tcPr>
          <w:p>
            <w:pPr>
              <w:widowControl/>
              <w:jc w:val="left"/>
              <w:rPr>
                <w:rFonts w:hint="eastAsia" w:ascii="宋体" w:hAnsi="宋体" w:cs="宋体"/>
                <w:color w:val="000000"/>
                <w:kern w:val="0"/>
                <w:sz w:val="20"/>
                <w:szCs w:val="20"/>
              </w:rPr>
            </w:pPr>
            <w:bookmarkStart w:id="48" w:name="_GoBack"/>
            <w:bookmarkEnd w:id="48"/>
          </w:p>
        </w:tc>
        <w:tc>
          <w:tcPr>
            <w:tcW w:w="702" w:type="pct"/>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61" w:type="pct"/>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50" w:type="pct"/>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48" w:type="pct"/>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30"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39" w:type="pct"/>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56" w:type="pct"/>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39" w:type="pct"/>
            <w:vMerge w:val="continue"/>
            <w:vAlign w:val="center"/>
          </w:tcPr>
          <w:p>
            <w:pPr>
              <w:widowControl/>
              <w:jc w:val="left"/>
              <w:rPr>
                <w:rFonts w:hint="eastAsia" w:ascii="宋体" w:hAnsi="宋体" w:cs="宋体"/>
                <w:color w:val="000000"/>
                <w:kern w:val="0"/>
                <w:sz w:val="20"/>
                <w:szCs w:val="20"/>
              </w:rPr>
            </w:pPr>
          </w:p>
        </w:tc>
        <w:tc>
          <w:tcPr>
            <w:tcW w:w="2656" w:type="pct"/>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认真落实区州县党委、人民政府深化驻村工作的部署要求，切实做好经费保障，确保驻村（社区）工作正常开展</w:t>
            </w:r>
          </w:p>
        </w:tc>
        <w:tc>
          <w:tcPr>
            <w:tcW w:w="2103" w:type="pct"/>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驻村干部人数5人，工作队为民办实事好事件数5件，为民办实事好事完成率均达到100%。认真落实区州县党委、人民政府深化驻村工作的部署要求，切实做好经费保障，确保驻村（社区）工作正常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9" w:type="pct"/>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1" w:type="pct"/>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20" w:type="pct"/>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5" w:type="pct"/>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9" w:type="pct"/>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5" w:type="pct"/>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9" w:type="pct"/>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3" w:type="pct"/>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94" w:type="pct"/>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9" w:type="pct"/>
            <w:vMerge w:val="continue"/>
            <w:vAlign w:val="center"/>
          </w:tcPr>
          <w:p>
            <w:pPr>
              <w:widowControl/>
              <w:jc w:val="left"/>
              <w:rPr>
                <w:rFonts w:hint="eastAsia" w:ascii="宋体" w:hAnsi="宋体" w:cs="宋体"/>
                <w:color w:val="000000"/>
                <w:kern w:val="0"/>
                <w:sz w:val="20"/>
                <w:szCs w:val="20"/>
              </w:rPr>
            </w:pPr>
          </w:p>
        </w:tc>
        <w:tc>
          <w:tcPr>
            <w:tcW w:w="241" w:type="pct"/>
            <w:vMerge w:val="continue"/>
            <w:vAlign w:val="center"/>
          </w:tcPr>
          <w:p>
            <w:pPr>
              <w:widowControl/>
              <w:jc w:val="left"/>
              <w:rPr>
                <w:rFonts w:hint="eastAsia" w:ascii="宋体" w:hAnsi="宋体" w:cs="宋体"/>
                <w:color w:val="000000"/>
                <w:kern w:val="0"/>
                <w:sz w:val="20"/>
                <w:szCs w:val="20"/>
              </w:rPr>
            </w:pPr>
          </w:p>
        </w:tc>
        <w:tc>
          <w:tcPr>
            <w:tcW w:w="420" w:type="pct"/>
            <w:vMerge w:val="continue"/>
            <w:vAlign w:val="center"/>
          </w:tcPr>
          <w:p>
            <w:pPr>
              <w:widowControl/>
              <w:jc w:val="left"/>
              <w:rPr>
                <w:rFonts w:hint="eastAsia" w:ascii="宋体" w:hAnsi="宋体" w:cs="宋体"/>
                <w:color w:val="000000"/>
                <w:kern w:val="0"/>
                <w:sz w:val="20"/>
                <w:szCs w:val="20"/>
              </w:rPr>
            </w:pPr>
          </w:p>
        </w:tc>
        <w:tc>
          <w:tcPr>
            <w:tcW w:w="995" w:type="pct"/>
            <w:gridSpan w:val="2"/>
            <w:vMerge w:val="continue"/>
            <w:vAlign w:val="center"/>
          </w:tcPr>
          <w:p>
            <w:pPr>
              <w:widowControl/>
              <w:jc w:val="left"/>
              <w:rPr>
                <w:rFonts w:hint="eastAsia" w:ascii="宋体" w:hAnsi="宋体" w:cs="宋体"/>
                <w:color w:val="000000"/>
                <w:kern w:val="0"/>
                <w:sz w:val="20"/>
                <w:szCs w:val="20"/>
              </w:rPr>
            </w:pPr>
          </w:p>
        </w:tc>
        <w:tc>
          <w:tcPr>
            <w:tcW w:w="999" w:type="pct"/>
            <w:gridSpan w:val="2"/>
            <w:vMerge w:val="continue"/>
            <w:vAlign w:val="center"/>
          </w:tcPr>
          <w:p>
            <w:pPr>
              <w:widowControl/>
              <w:jc w:val="left"/>
              <w:rPr>
                <w:rFonts w:hint="eastAsia" w:ascii="宋体" w:hAnsi="宋体" w:cs="宋体"/>
                <w:color w:val="000000"/>
                <w:kern w:val="0"/>
                <w:sz w:val="20"/>
                <w:szCs w:val="20"/>
              </w:rPr>
            </w:pPr>
          </w:p>
        </w:tc>
        <w:tc>
          <w:tcPr>
            <w:tcW w:w="725" w:type="pct"/>
            <w:vMerge w:val="continue"/>
            <w:vAlign w:val="center"/>
          </w:tcPr>
          <w:p>
            <w:pPr>
              <w:widowControl/>
              <w:jc w:val="left"/>
              <w:rPr>
                <w:rFonts w:hint="eastAsia" w:ascii="宋体" w:hAnsi="宋体" w:cs="宋体"/>
                <w:color w:val="000000"/>
                <w:kern w:val="0"/>
                <w:sz w:val="20"/>
                <w:szCs w:val="20"/>
              </w:rPr>
            </w:pPr>
          </w:p>
        </w:tc>
        <w:tc>
          <w:tcPr>
            <w:tcW w:w="299" w:type="pct"/>
            <w:gridSpan w:val="2"/>
            <w:vMerge w:val="continue"/>
            <w:vAlign w:val="center"/>
          </w:tcPr>
          <w:p>
            <w:pPr>
              <w:widowControl/>
              <w:jc w:val="left"/>
              <w:rPr>
                <w:rFonts w:hint="eastAsia" w:ascii="宋体" w:hAnsi="宋体" w:cs="宋体"/>
                <w:color w:val="000000"/>
                <w:kern w:val="0"/>
                <w:sz w:val="20"/>
                <w:szCs w:val="20"/>
              </w:rPr>
            </w:pPr>
          </w:p>
        </w:tc>
        <w:tc>
          <w:tcPr>
            <w:tcW w:w="383" w:type="pct"/>
            <w:gridSpan w:val="2"/>
            <w:vMerge w:val="continue"/>
            <w:vAlign w:val="center"/>
          </w:tcPr>
          <w:p>
            <w:pPr>
              <w:widowControl/>
              <w:jc w:val="left"/>
              <w:rPr>
                <w:rFonts w:hint="eastAsia" w:ascii="宋体" w:hAnsi="宋体" w:cs="宋体"/>
                <w:color w:val="000000"/>
                <w:kern w:val="0"/>
                <w:sz w:val="20"/>
                <w:szCs w:val="20"/>
              </w:rPr>
            </w:pPr>
          </w:p>
        </w:tc>
        <w:tc>
          <w:tcPr>
            <w:tcW w:w="694" w:type="pct"/>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1" w:type="pct"/>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2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5" w:type="pct"/>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驻村干部人数</w:t>
            </w:r>
          </w:p>
        </w:tc>
        <w:tc>
          <w:tcPr>
            <w:tcW w:w="9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&gt;=5人</w:t>
            </w:r>
          </w:p>
        </w:tc>
        <w:tc>
          <w:tcPr>
            <w:tcW w:w="725"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2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pPr>
              <w:widowControl/>
              <w:jc w:val="left"/>
              <w:rPr>
                <w:rFonts w:hint="eastAsia" w:ascii="宋体" w:hAnsi="宋体" w:cs="宋体"/>
                <w:color w:val="000000"/>
                <w:kern w:val="0"/>
                <w:sz w:val="20"/>
                <w:szCs w:val="20"/>
              </w:rPr>
            </w:pPr>
          </w:p>
        </w:tc>
        <w:tc>
          <w:tcPr>
            <w:tcW w:w="241" w:type="pct"/>
            <w:vMerge w:val="continue"/>
            <w:vAlign w:val="center"/>
          </w:tcPr>
          <w:p>
            <w:pPr>
              <w:widowControl/>
              <w:jc w:val="left"/>
              <w:rPr>
                <w:rFonts w:hint="eastAsia" w:ascii="宋体" w:hAnsi="宋体" w:cs="宋体"/>
                <w:color w:val="000000"/>
                <w:kern w:val="0"/>
                <w:sz w:val="20"/>
                <w:szCs w:val="20"/>
              </w:rPr>
            </w:pPr>
          </w:p>
        </w:tc>
        <w:tc>
          <w:tcPr>
            <w:tcW w:w="42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5" w:type="pct"/>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工作队为民办实事好事件数</w:t>
            </w:r>
          </w:p>
        </w:tc>
        <w:tc>
          <w:tcPr>
            <w:tcW w:w="9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&gt;=4件</w:t>
            </w:r>
          </w:p>
        </w:tc>
        <w:tc>
          <w:tcPr>
            <w:tcW w:w="725"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=5件</w:t>
            </w:r>
          </w:p>
        </w:tc>
        <w:tc>
          <w:tcPr>
            <w:tcW w:w="2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694"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办好事数量增加，年初无法精确预估。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pPr>
              <w:widowControl/>
              <w:jc w:val="left"/>
              <w:rPr>
                <w:rFonts w:hint="eastAsia" w:ascii="宋体" w:hAnsi="宋体" w:cs="宋体"/>
                <w:color w:val="000000"/>
                <w:kern w:val="0"/>
                <w:sz w:val="20"/>
                <w:szCs w:val="20"/>
              </w:rPr>
            </w:pPr>
          </w:p>
        </w:tc>
        <w:tc>
          <w:tcPr>
            <w:tcW w:w="241" w:type="pct"/>
            <w:vMerge w:val="continue"/>
            <w:vAlign w:val="center"/>
          </w:tcPr>
          <w:p>
            <w:pPr>
              <w:widowControl/>
              <w:jc w:val="left"/>
              <w:rPr>
                <w:rFonts w:hint="eastAsia" w:ascii="宋体" w:hAnsi="宋体" w:cs="宋体"/>
                <w:color w:val="000000"/>
                <w:kern w:val="0"/>
                <w:sz w:val="20"/>
                <w:szCs w:val="20"/>
              </w:rPr>
            </w:pPr>
          </w:p>
        </w:tc>
        <w:tc>
          <w:tcPr>
            <w:tcW w:w="42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5" w:type="pct"/>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为民办实事好事工作开支保障率</w:t>
            </w:r>
          </w:p>
        </w:tc>
        <w:tc>
          <w:tcPr>
            <w:tcW w:w="9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5"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4"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pPr>
              <w:widowControl/>
              <w:jc w:val="left"/>
              <w:rPr>
                <w:rFonts w:hint="eastAsia" w:ascii="宋体" w:hAnsi="宋体" w:cs="宋体"/>
                <w:color w:val="000000"/>
                <w:kern w:val="0"/>
                <w:sz w:val="20"/>
                <w:szCs w:val="20"/>
              </w:rPr>
            </w:pPr>
          </w:p>
        </w:tc>
        <w:tc>
          <w:tcPr>
            <w:tcW w:w="241" w:type="pct"/>
            <w:vMerge w:val="continue"/>
            <w:vAlign w:val="center"/>
          </w:tcPr>
          <w:p>
            <w:pPr>
              <w:widowControl/>
              <w:jc w:val="left"/>
              <w:rPr>
                <w:rFonts w:hint="eastAsia" w:ascii="宋体" w:hAnsi="宋体" w:cs="宋体"/>
                <w:color w:val="000000"/>
                <w:kern w:val="0"/>
                <w:sz w:val="20"/>
                <w:szCs w:val="20"/>
              </w:rPr>
            </w:pPr>
          </w:p>
        </w:tc>
        <w:tc>
          <w:tcPr>
            <w:tcW w:w="42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5" w:type="pct"/>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为民办实事好事完成率</w:t>
            </w:r>
          </w:p>
        </w:tc>
        <w:tc>
          <w:tcPr>
            <w:tcW w:w="9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5"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4"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pPr>
              <w:widowControl/>
              <w:jc w:val="left"/>
              <w:rPr>
                <w:rFonts w:hint="eastAsia" w:ascii="宋体" w:hAnsi="宋体" w:cs="宋体"/>
                <w:color w:val="000000"/>
                <w:kern w:val="0"/>
                <w:sz w:val="20"/>
                <w:szCs w:val="20"/>
              </w:rPr>
            </w:pPr>
          </w:p>
        </w:tc>
        <w:tc>
          <w:tcPr>
            <w:tcW w:w="241" w:type="pct"/>
            <w:vMerge w:val="continue"/>
            <w:vAlign w:val="center"/>
          </w:tcPr>
          <w:p>
            <w:pPr>
              <w:widowControl/>
              <w:jc w:val="left"/>
              <w:rPr>
                <w:rFonts w:hint="eastAsia" w:ascii="宋体" w:hAnsi="宋体" w:cs="宋体"/>
                <w:color w:val="000000"/>
                <w:kern w:val="0"/>
                <w:sz w:val="20"/>
                <w:szCs w:val="20"/>
              </w:rPr>
            </w:pPr>
          </w:p>
        </w:tc>
        <w:tc>
          <w:tcPr>
            <w:tcW w:w="42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5" w:type="pct"/>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各项工作完成及时率</w:t>
            </w:r>
          </w:p>
        </w:tc>
        <w:tc>
          <w:tcPr>
            <w:tcW w:w="9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5"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pPr>
              <w:widowControl/>
              <w:jc w:val="left"/>
              <w:rPr>
                <w:rFonts w:hint="eastAsia" w:ascii="宋体" w:hAnsi="宋体" w:cs="宋体"/>
                <w:color w:val="000000"/>
                <w:kern w:val="0"/>
                <w:sz w:val="20"/>
                <w:szCs w:val="20"/>
              </w:rPr>
            </w:pPr>
          </w:p>
        </w:tc>
        <w:tc>
          <w:tcPr>
            <w:tcW w:w="241" w:type="pct"/>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2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5" w:type="pct"/>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5"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pPr>
              <w:widowControl/>
              <w:jc w:val="left"/>
              <w:rPr>
                <w:rFonts w:hint="eastAsia" w:ascii="宋体" w:hAnsi="宋体" w:cs="宋体"/>
                <w:color w:val="000000"/>
                <w:kern w:val="0"/>
                <w:sz w:val="20"/>
                <w:szCs w:val="20"/>
              </w:rPr>
            </w:pPr>
          </w:p>
        </w:tc>
        <w:tc>
          <w:tcPr>
            <w:tcW w:w="241" w:type="pct"/>
            <w:vMerge w:val="continue"/>
            <w:vAlign w:val="center"/>
          </w:tcPr>
          <w:p>
            <w:pPr>
              <w:widowControl/>
              <w:jc w:val="left"/>
              <w:rPr>
                <w:rFonts w:hint="eastAsia" w:ascii="宋体" w:hAnsi="宋体" w:cs="宋体"/>
                <w:color w:val="000000"/>
                <w:kern w:val="0"/>
                <w:sz w:val="20"/>
                <w:szCs w:val="20"/>
              </w:rPr>
            </w:pPr>
          </w:p>
        </w:tc>
        <w:tc>
          <w:tcPr>
            <w:tcW w:w="42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5" w:type="pct"/>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9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5"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pPr>
              <w:widowControl/>
              <w:jc w:val="left"/>
              <w:rPr>
                <w:rFonts w:hint="eastAsia" w:ascii="宋体" w:hAnsi="宋体" w:cs="宋体"/>
                <w:color w:val="000000"/>
                <w:kern w:val="0"/>
                <w:sz w:val="20"/>
                <w:szCs w:val="20"/>
              </w:rPr>
            </w:pPr>
          </w:p>
        </w:tc>
        <w:tc>
          <w:tcPr>
            <w:tcW w:w="241" w:type="pct"/>
            <w:vMerge w:val="continue"/>
            <w:vAlign w:val="center"/>
          </w:tcPr>
          <w:p>
            <w:pPr>
              <w:widowControl/>
              <w:jc w:val="left"/>
              <w:rPr>
                <w:rFonts w:hint="eastAsia" w:ascii="宋体" w:hAnsi="宋体" w:cs="宋体"/>
                <w:color w:val="000000"/>
                <w:kern w:val="0"/>
                <w:sz w:val="20"/>
                <w:szCs w:val="20"/>
              </w:rPr>
            </w:pPr>
          </w:p>
        </w:tc>
        <w:tc>
          <w:tcPr>
            <w:tcW w:w="42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5" w:type="pct"/>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4"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pPr>
              <w:widowControl/>
              <w:jc w:val="left"/>
              <w:rPr>
                <w:rFonts w:hint="eastAsia" w:ascii="宋体" w:hAnsi="宋体" w:cs="宋体"/>
                <w:color w:val="000000"/>
                <w:kern w:val="0"/>
                <w:sz w:val="20"/>
                <w:szCs w:val="20"/>
              </w:rPr>
            </w:pPr>
          </w:p>
        </w:tc>
        <w:tc>
          <w:tcPr>
            <w:tcW w:w="241" w:type="pct"/>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2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5" w:type="pct"/>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4"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pPr>
              <w:widowControl/>
              <w:jc w:val="left"/>
              <w:rPr>
                <w:rFonts w:hint="eastAsia" w:ascii="宋体" w:hAnsi="宋体" w:cs="宋体"/>
                <w:color w:val="000000"/>
                <w:kern w:val="0"/>
                <w:sz w:val="20"/>
                <w:szCs w:val="20"/>
              </w:rPr>
            </w:pPr>
          </w:p>
        </w:tc>
        <w:tc>
          <w:tcPr>
            <w:tcW w:w="241" w:type="pct"/>
            <w:vMerge w:val="continue"/>
            <w:vAlign w:val="center"/>
          </w:tcPr>
          <w:p>
            <w:pPr>
              <w:widowControl/>
              <w:jc w:val="left"/>
              <w:rPr>
                <w:rFonts w:hint="eastAsia" w:ascii="宋体" w:hAnsi="宋体" w:cs="宋体"/>
                <w:color w:val="000000"/>
                <w:kern w:val="0"/>
                <w:sz w:val="20"/>
                <w:szCs w:val="20"/>
              </w:rPr>
            </w:pPr>
          </w:p>
        </w:tc>
        <w:tc>
          <w:tcPr>
            <w:tcW w:w="42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5" w:type="pct"/>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9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&gt;=30户</w:t>
            </w:r>
          </w:p>
        </w:tc>
        <w:tc>
          <w:tcPr>
            <w:tcW w:w="725"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=35户</w:t>
            </w:r>
          </w:p>
        </w:tc>
        <w:tc>
          <w:tcPr>
            <w:tcW w:w="2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694"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流动人口较大，迁移人口较多。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pPr>
              <w:widowControl/>
              <w:jc w:val="left"/>
              <w:rPr>
                <w:rFonts w:hint="eastAsia" w:ascii="宋体" w:hAnsi="宋体" w:cs="宋体"/>
                <w:color w:val="000000"/>
                <w:kern w:val="0"/>
                <w:sz w:val="20"/>
                <w:szCs w:val="20"/>
              </w:rPr>
            </w:pPr>
          </w:p>
        </w:tc>
        <w:tc>
          <w:tcPr>
            <w:tcW w:w="241" w:type="pct"/>
            <w:vMerge w:val="continue"/>
            <w:vAlign w:val="center"/>
          </w:tcPr>
          <w:p>
            <w:pPr>
              <w:widowControl/>
              <w:jc w:val="left"/>
              <w:rPr>
                <w:rFonts w:hint="eastAsia" w:ascii="宋体" w:hAnsi="宋体" w:cs="宋体"/>
                <w:color w:val="000000"/>
                <w:kern w:val="0"/>
                <w:sz w:val="20"/>
                <w:szCs w:val="20"/>
              </w:rPr>
            </w:pPr>
          </w:p>
        </w:tc>
        <w:tc>
          <w:tcPr>
            <w:tcW w:w="42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5" w:type="pct"/>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4"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pPr>
              <w:widowControl/>
              <w:jc w:val="left"/>
              <w:rPr>
                <w:rFonts w:hint="eastAsia" w:ascii="宋体" w:hAnsi="宋体" w:cs="宋体"/>
                <w:color w:val="000000"/>
                <w:kern w:val="0"/>
                <w:sz w:val="20"/>
                <w:szCs w:val="20"/>
              </w:rPr>
            </w:pPr>
          </w:p>
        </w:tc>
        <w:tc>
          <w:tcPr>
            <w:tcW w:w="241"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20"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5" w:type="pct"/>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5" w:type="pc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21" w:type="pct"/>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9"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94.3分</w:t>
            </w:r>
          </w:p>
        </w:tc>
        <w:tc>
          <w:tcPr>
            <w:tcW w:w="694" w:type="pct"/>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E53E19"/>
    <w:rsid w:val="000C27B1"/>
    <w:rsid w:val="000D5538"/>
    <w:rsid w:val="00213C59"/>
    <w:rsid w:val="003210CE"/>
    <w:rsid w:val="00472CCC"/>
    <w:rsid w:val="00525257"/>
    <w:rsid w:val="00623A8A"/>
    <w:rsid w:val="006D2555"/>
    <w:rsid w:val="00714C9E"/>
    <w:rsid w:val="007F08BA"/>
    <w:rsid w:val="009E4752"/>
    <w:rsid w:val="00B70D59"/>
    <w:rsid w:val="00DF5528"/>
    <w:rsid w:val="00E3045C"/>
    <w:rsid w:val="00E53E19"/>
    <w:rsid w:val="00EA7CE0"/>
    <w:rsid w:val="00F519C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204181"/>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7717</Words>
  <Characters>8735</Characters>
  <Lines>71</Lines>
  <Paragraphs>20</Paragraphs>
  <TotalTime>46</TotalTime>
  <ScaleCrop>false</ScaleCrop>
  <LinksUpToDate>false</LinksUpToDate>
  <CharactersWithSpaces>8787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2024-09-03T03:22:34Z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